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67C" w:rsidRDefault="0022067C" w:rsidP="0022067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'Open Sans', sans-serif" w:hAnsi="'Open Sans', sans-serif" w:cs="'Open Sans', sans-serif"/>
          <w:b/>
          <w:bCs/>
          <w:color w:val="000000"/>
          <w:sz w:val="24"/>
          <w:szCs w:val="24"/>
          <w:highlight w:val="white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  <w:t>Элективный</w:t>
      </w:r>
      <w:r>
        <w:rPr>
          <w:rFonts w:ascii="'Open Sans', sans-serif" w:hAnsi="'Open Sans', sans-serif" w:cs="'Open Sans', sans-serif"/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  <w:t>курс</w:t>
      </w:r>
      <w:r>
        <w:rPr>
          <w:rFonts w:ascii="'Open Sans', sans-serif" w:hAnsi="'Open Sans', sans-serif" w:cs="'Open Sans', sans-serif"/>
          <w:b/>
          <w:bCs/>
          <w:color w:val="000000"/>
          <w:sz w:val="24"/>
          <w:szCs w:val="24"/>
          <w:highlight w:val="white"/>
        </w:rPr>
        <w:t xml:space="preserve"> </w:t>
      </w:r>
      <w:r w:rsidRPr="0022067C">
        <w:rPr>
          <w:rFonts w:ascii="'Open Sans', sans-serif" w:hAnsi="'Open Sans', sans-serif" w:cs="'Open Sans', sans-serif"/>
          <w:b/>
          <w:bCs/>
          <w:color w:val="000000"/>
          <w:sz w:val="24"/>
          <w:szCs w:val="24"/>
          <w:highlight w:val="white"/>
        </w:rPr>
        <w:t>«</w:t>
      </w:r>
      <w:r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  <w:t>Решение</w:t>
      </w:r>
      <w:r>
        <w:rPr>
          <w:rFonts w:ascii="'Open Sans', sans-serif" w:hAnsi="'Open Sans', sans-serif" w:cs="'Open Sans', sans-serif"/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  <w:t>расчетных</w:t>
      </w:r>
      <w:r>
        <w:rPr>
          <w:rFonts w:ascii="'Open Sans', sans-serif" w:hAnsi="'Open Sans', sans-serif" w:cs="'Open Sans', sans-serif"/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  <w:t>и</w:t>
      </w:r>
      <w:r>
        <w:rPr>
          <w:rFonts w:ascii="'Open Sans', sans-serif" w:hAnsi="'Open Sans', sans-serif" w:cs="'Open Sans', sans-serif"/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  <w:t>экспериментальных</w:t>
      </w:r>
      <w:r>
        <w:rPr>
          <w:rFonts w:ascii="'Open Sans', sans-serif" w:hAnsi="'Open Sans', sans-serif" w:cs="'Open Sans', sans-serif"/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  <w:t>задач</w:t>
      </w:r>
      <w:r>
        <w:rPr>
          <w:rFonts w:ascii="'Open Sans', sans-serif" w:hAnsi="'Open Sans', sans-serif" w:cs="'Open Sans', sans-serif"/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  <w:t>по</w:t>
      </w:r>
      <w:r>
        <w:rPr>
          <w:rFonts w:ascii="'Open Sans', sans-serif" w:hAnsi="'Open Sans', sans-serif" w:cs="'Open Sans', sans-serif"/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  <w:t>химии</w:t>
      </w:r>
      <w:r w:rsidRPr="0022067C">
        <w:rPr>
          <w:rFonts w:ascii="'Open Sans', sans-serif" w:hAnsi="'Open Sans', sans-serif" w:cs="'Open Sans', sans-serif"/>
          <w:b/>
          <w:bCs/>
          <w:color w:val="000000"/>
          <w:sz w:val="24"/>
          <w:szCs w:val="24"/>
          <w:highlight w:val="white"/>
        </w:rPr>
        <w:t>»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sz w:val="24"/>
          <w:szCs w:val="24"/>
          <w:highlight w:val="white"/>
        </w:rPr>
      </w:pPr>
      <w:r w:rsidRPr="0022067C">
        <w:rPr>
          <w:rFonts w:ascii="'Open Sans', sans-serif" w:hAnsi="'Open Sans', sans-serif" w:cs="'Open Sans', sans-serif"/>
          <w:color w:val="000000"/>
          <w:sz w:val="24"/>
          <w:szCs w:val="24"/>
          <w:highlight w:val="white"/>
        </w:rPr>
        <w:t xml:space="preserve">10 </w:t>
      </w:r>
      <w:r>
        <w:rPr>
          <w:rFonts w:ascii="Calibri" w:hAnsi="Calibri" w:cs="Calibri"/>
          <w:color w:val="000000"/>
          <w:sz w:val="24"/>
          <w:szCs w:val="24"/>
          <w:highlight w:val="white"/>
        </w:rPr>
        <w:t>класс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  <w:t>ПОЯСНИТЕЛЬНАЯ</w:t>
      </w:r>
      <w:r>
        <w:rPr>
          <w:rFonts w:ascii="'Open Sans', sans-serif" w:hAnsi="'Open Sans', sans-serif" w:cs="'Open Sans', sans-serif"/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  <w:highlight w:val="white"/>
        </w:rPr>
        <w:t>ЗАПИСКА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элективного курса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Решение расчетных и экспериментальных задач по химии</w:t>
      </w:r>
      <w:r w:rsidRPr="0022067C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для 10 класса составлена на основе авторской программы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Решение расчетных и экспериментальных задач по химии</w:t>
      </w:r>
      <w:r w:rsidRPr="0022067C">
        <w:rPr>
          <w:rFonts w:ascii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hAnsi="Times New Roman" w:cs="Times New Roman"/>
          <w:sz w:val="24"/>
          <w:szCs w:val="24"/>
        </w:rPr>
        <w:t xml:space="preserve">Т.А. Журавлевой, журнал </w:t>
      </w:r>
      <w:r w:rsidRPr="0022067C">
        <w:rPr>
          <w:rFonts w:ascii="Times New Roman" w:hAnsi="Times New Roman" w:cs="Times New Roman"/>
          <w:sz w:val="24"/>
          <w:szCs w:val="24"/>
        </w:rPr>
        <w:t xml:space="preserve">«1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 w:rsidRPr="0022067C">
        <w:rPr>
          <w:rFonts w:ascii="Times New Roman" w:hAnsi="Times New Roman" w:cs="Times New Roman"/>
          <w:sz w:val="24"/>
          <w:szCs w:val="24"/>
        </w:rPr>
        <w:t>»</w:t>
      </w:r>
      <w:r w:rsidRPr="0022067C">
        <w:rPr>
          <w:rFonts w:ascii="Segoe UI Symbol" w:hAnsi="Segoe UI Symbol" w:cs="Segoe UI Symbol"/>
          <w:sz w:val="24"/>
          <w:szCs w:val="24"/>
        </w:rPr>
        <w:t>№</w:t>
      </w:r>
      <w:r w:rsidRPr="0022067C">
        <w:rPr>
          <w:rFonts w:ascii="Times New Roman" w:hAnsi="Times New Roman" w:cs="Times New Roman"/>
          <w:sz w:val="24"/>
          <w:szCs w:val="24"/>
        </w:rPr>
        <w:t>5, 2007</w:t>
      </w:r>
      <w:r>
        <w:rPr>
          <w:rFonts w:ascii="Times New Roman" w:hAnsi="Times New Roman" w:cs="Times New Roman"/>
          <w:sz w:val="24"/>
          <w:szCs w:val="24"/>
        </w:rPr>
        <w:t>г. С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Нормативно-правовые документы:</w:t>
      </w:r>
    </w:p>
    <w:p w:rsidR="0022067C" w:rsidRDefault="0022067C" w:rsidP="002206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 w:rsidRPr="0022067C">
        <w:rPr>
          <w:rFonts w:ascii="Times New Roman" w:hAnsi="Times New Roman" w:cs="Times New Roman"/>
          <w:sz w:val="24"/>
          <w:szCs w:val="24"/>
        </w:rPr>
        <w:t>» (</w:t>
      </w:r>
      <w:r w:rsidRPr="0022067C">
        <w:rPr>
          <w:rFonts w:ascii="Segoe UI Symbol" w:hAnsi="Segoe UI Symbol" w:cs="Segoe UI Symbol"/>
          <w:sz w:val="24"/>
          <w:szCs w:val="24"/>
        </w:rPr>
        <w:t>№</w:t>
      </w:r>
      <w:r w:rsidRPr="0022067C">
        <w:rPr>
          <w:rFonts w:ascii="Times New Roman" w:hAnsi="Times New Roman" w:cs="Times New Roman"/>
          <w:sz w:val="24"/>
          <w:szCs w:val="24"/>
        </w:rPr>
        <w:t xml:space="preserve"> 273-</w:t>
      </w:r>
      <w:r>
        <w:rPr>
          <w:rFonts w:ascii="Times New Roman" w:hAnsi="Times New Roman" w:cs="Times New Roman"/>
          <w:sz w:val="24"/>
          <w:szCs w:val="24"/>
        </w:rPr>
        <w:t>ФЗ от 29.12.2012г., ст. 12,13),</w:t>
      </w:r>
    </w:p>
    <w:p w:rsidR="0022067C" w:rsidRDefault="0022067C" w:rsidP="002206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</w:t>
      </w:r>
    </w:p>
    <w:p w:rsidR="0022067C" w:rsidRPr="0022067C" w:rsidRDefault="0022067C" w:rsidP="002206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 30 августа 2013 г.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22067C">
        <w:rPr>
          <w:rFonts w:ascii="Times New Roman" w:hAnsi="Times New Roman" w:cs="Times New Roman"/>
          <w:sz w:val="24"/>
          <w:szCs w:val="24"/>
        </w:rPr>
        <w:t xml:space="preserve"> 1015 «</w:t>
      </w:r>
      <w:r>
        <w:rPr>
          <w:rFonts w:ascii="Times New Roman" w:hAnsi="Times New Roman" w:cs="Times New Roman"/>
          <w:sz w:val="24"/>
          <w:szCs w:val="24"/>
        </w:rPr>
        <w:t>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</w:t>
      </w:r>
      <w:r w:rsidRPr="0022067C">
        <w:rPr>
          <w:rFonts w:ascii="Times New Roman" w:hAnsi="Times New Roman" w:cs="Times New Roman"/>
          <w:sz w:val="24"/>
          <w:szCs w:val="24"/>
        </w:rPr>
        <w:t>»,</w:t>
      </w:r>
    </w:p>
    <w:p w:rsidR="0022067C" w:rsidRPr="0022067C" w:rsidRDefault="0022067C" w:rsidP="002206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31.12.2015 г.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22067C">
        <w:rPr>
          <w:rFonts w:ascii="Times New Roman" w:hAnsi="Times New Roman" w:cs="Times New Roman"/>
          <w:sz w:val="24"/>
          <w:szCs w:val="24"/>
        </w:rPr>
        <w:t>1578 «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22067C">
        <w:rPr>
          <w:rFonts w:ascii="Times New Roman" w:hAnsi="Times New Roman" w:cs="Times New Roman"/>
          <w:sz w:val="24"/>
          <w:szCs w:val="24"/>
        </w:rPr>
        <w:t xml:space="preserve"> 413»;</w:t>
      </w:r>
    </w:p>
    <w:p w:rsidR="0022067C" w:rsidRDefault="0022067C" w:rsidP="002206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в соответствии с Уставом образовательного учреждения ОУ,</w:t>
      </w:r>
    </w:p>
    <w:p w:rsidR="0022067C" w:rsidRDefault="0022067C" w:rsidP="002206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Образовательной программой СОО МБОУ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  <w:r w:rsidRPr="0022067C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принятой решением педагогического совета Протокол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22067C">
        <w:rPr>
          <w:rFonts w:ascii="Times New Roman" w:hAnsi="Times New Roman" w:cs="Times New Roman"/>
          <w:sz w:val="24"/>
          <w:szCs w:val="24"/>
        </w:rPr>
        <w:t xml:space="preserve"> 14 </w:t>
      </w:r>
      <w:r>
        <w:rPr>
          <w:rFonts w:ascii="Times New Roman" w:hAnsi="Times New Roman" w:cs="Times New Roman"/>
          <w:sz w:val="24"/>
          <w:szCs w:val="24"/>
        </w:rPr>
        <w:t xml:space="preserve">от 31.09.2016 , приказ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22067C">
        <w:rPr>
          <w:rFonts w:ascii="Times New Roman" w:hAnsi="Times New Roman" w:cs="Times New Roman"/>
          <w:sz w:val="24"/>
          <w:szCs w:val="24"/>
        </w:rPr>
        <w:t xml:space="preserve">82 </w:t>
      </w:r>
      <w:r>
        <w:rPr>
          <w:rFonts w:ascii="Times New Roman" w:hAnsi="Times New Roman" w:cs="Times New Roman"/>
          <w:sz w:val="24"/>
          <w:szCs w:val="24"/>
        </w:rPr>
        <w:t>от 1.09.2016г.</w:t>
      </w:r>
    </w:p>
    <w:p w:rsidR="0022067C" w:rsidRDefault="0022067C" w:rsidP="0022067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Положением о выборе обучающимися учебных курсов при освоении основных образовательных программ основного и среднего общего образования, принятым решением педагогического совета Протокол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22067C">
        <w:rPr>
          <w:rFonts w:ascii="Times New Roman" w:hAnsi="Times New Roman" w:cs="Times New Roman"/>
          <w:sz w:val="24"/>
          <w:szCs w:val="24"/>
        </w:rPr>
        <w:t xml:space="preserve"> 14 </w:t>
      </w:r>
      <w:r>
        <w:rPr>
          <w:rFonts w:ascii="Times New Roman" w:hAnsi="Times New Roman" w:cs="Times New Roman"/>
          <w:sz w:val="24"/>
          <w:szCs w:val="24"/>
        </w:rPr>
        <w:t xml:space="preserve">от 31.09.2016 , приказ </w:t>
      </w:r>
      <w:r>
        <w:rPr>
          <w:rFonts w:ascii="Segoe UI Symbol" w:hAnsi="Segoe UI Symbol" w:cs="Segoe UI Symbol"/>
          <w:sz w:val="24"/>
          <w:szCs w:val="24"/>
        </w:rPr>
        <w:t>№</w:t>
      </w:r>
      <w:r w:rsidRPr="0022067C">
        <w:rPr>
          <w:rFonts w:ascii="Times New Roman" w:hAnsi="Times New Roman" w:cs="Times New Roman"/>
          <w:sz w:val="24"/>
          <w:szCs w:val="24"/>
        </w:rPr>
        <w:t xml:space="preserve">82 </w:t>
      </w:r>
      <w:r>
        <w:rPr>
          <w:rFonts w:ascii="Times New Roman" w:hAnsi="Times New Roman" w:cs="Times New Roman"/>
          <w:sz w:val="24"/>
          <w:szCs w:val="24"/>
        </w:rPr>
        <w:t>от 1.09.2016г.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элективного курса рассчитана в 10 классе на 34 часа в год, из расчета - 1 учебный час в неделю.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Занимаясь на этом курсе, учащиеся узнают много нового и интересного о растворах, научатся решать расчетные и экспериментальные задачи по этой теме, продолжат знакомство с лабораторной посудой, усовершенствуют свои навыки работы в школьной лаборатории. Умение решать задачи по теме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Растворы</w:t>
      </w:r>
      <w:r w:rsidRPr="0022067C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поможет учащимся в дальнейшем решать сложные комбинированные задачи по химии и более успешно подготовиться к экзамену.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Элективный курс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Решение расчетных и экспериментальных задач, связанных с растворами</w:t>
      </w:r>
      <w:r w:rsidRPr="0022067C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проводится в системе работы школы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профиля и дает возможность учащимся расширить содержание профильного курса химии.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proofErr w:type="gramEnd"/>
      <w:r>
        <w:rPr>
          <w:rFonts w:ascii="Times New Roman" w:hAnsi="Times New Roman" w:cs="Times New Roman"/>
          <w:sz w:val="24"/>
          <w:szCs w:val="24"/>
        </w:rPr>
        <w:t>урс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опирается на знания учащихся по теме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Растворы</w:t>
      </w:r>
      <w:r w:rsidRPr="0022067C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полученные в основной школе и основанные на таких понятиях, как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растворимое вещество</w:t>
      </w:r>
      <w:r w:rsidRPr="0022067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растворитель</w:t>
      </w:r>
      <w:r w:rsidRPr="0022067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раствор</w:t>
      </w:r>
      <w:r w:rsidRPr="0022067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массовая доля растворенного вещества</w:t>
      </w:r>
      <w:r w:rsidRPr="0022067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плотность раствора</w:t>
      </w:r>
      <w:r w:rsidRPr="0022067C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кристаллогидрат</w:t>
      </w:r>
      <w:r w:rsidRPr="0022067C">
        <w:rPr>
          <w:rFonts w:ascii="Times New Roman" w:hAnsi="Times New Roman" w:cs="Times New Roman"/>
          <w:sz w:val="24"/>
          <w:szCs w:val="24"/>
        </w:rPr>
        <w:t>».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ходе освоения курса учащиеся знакомятся с зависимостями растворимости веществ от температуры, плотности раствора от массовой доли растворенного вещества, с расчетами, связанными с приготовлением растворов из кристаллогидратов, с понятием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эквивалент</w:t>
      </w:r>
      <w:r w:rsidRPr="0022067C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законом эквивалентов, молярной и нормальной концентрацией, титром, титрованием; устанавливают связи между различными способами выражения состава раствора, что находит свое выражение в решении комбинированных расчетных задач;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выполняют практические работы по приготовлению растворов.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Элективный курс способствует лучшему усвоению темы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оличественные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соотношения при электролизе</w:t>
      </w:r>
      <w:r w:rsidRPr="0022067C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которая изучается в рамках профильного курса химии средней школы позднее, а также развитию навыка решения комбинированных расчетных задач.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решения расчетных и экспериментальных задач путем установления связи между различными способами выражения состава растворов.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Сформировать представление о молярной и нормальной концентрациях.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Научить устанавливать связи между различными способами выражения состава раствора.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Формировать навыки работы со справочными материалами.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Развивать навыки приготовления растворов и работы с лабораторным оборудованием.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Развивать навыки коммуникативного общения при групповых формах работы.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освоению содержания курса</w:t>
      </w:r>
      <w:r>
        <w:rPr>
          <w:rFonts w:ascii="Times New Roman" w:hAnsi="Times New Roman" w:cs="Times New Roman"/>
          <w:sz w:val="24"/>
          <w:szCs w:val="24"/>
        </w:rPr>
        <w:br/>
        <w:t>(ожидаемый результат)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должны знать, что такое: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молярная концентрация;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нормальная концентрация;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титр;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кристаллогидрат;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растворимость.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должны понимать: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зависимость плотности раствора от массовой доли растворенного вещества;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зависимость растворимости вещества от температуры;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взаимосвязь между различными способами выражения состава раствора;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закон эквивалентов.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пользоваться мерной посудой, ареометром;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определить массовую долю растворенного вещества по плотности раствора;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определить плотность раствора по массовой доле растворенного вещества;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пользоваться кривыми растворимости;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приготовить раствор из кристаллогидрата;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решать расчетные задачи с использованием плотности раствора, растворимости, молярной и нормальной концентраций, формул кристаллогидратов;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приготовить раствор заданной молярной концентрации;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определить нормальную концентрацию путем титрования.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изучения курса деятельность учащихся будет включать в себя: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Ведение тетради.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Перевод информации из одной знаковой системы в другую (из таблицы, графика в текст).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Решение задач.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Взаимопомощь при решении задач.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Выполнение практических работ.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67C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Взаимопомощь при выполнении практических работ.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учащимся предоставляется выбор формирования групп для выполнения практических работ, уровня сложности задач во время итоговой аттестации.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материала этого элективного курса протекает в процессе урочной учебной деятельности учащихся, при этом используются индивидуальные, групповые и фронтальные формы работы, предполагается домашняя самостоятельная работа по решению задач и подготовке к практическим работам.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ритерии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успешности, нормы оценивания, форма аттестации</w:t>
      </w:r>
      <w:r>
        <w:rPr>
          <w:rFonts w:ascii="Times New Roman" w:hAnsi="Times New Roman" w:cs="Times New Roman"/>
          <w:sz w:val="24"/>
          <w:szCs w:val="24"/>
        </w:rPr>
        <w:t>. В ходе освоения курса осуществляется накопительная система баллов за ведение тетради, решение задач на уроке и дома, выполнение экспериментальных задач. Подведение итогов реализации учебной программы осуществляется в виде выполнения зачета учащимися, включающего тест и задачи различного уровня сложности.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расчетных задач на приготовление раствора из более концентрированного или более разбавленного раствора, на приготовление раствора путем смешения двух растворов различной концентрации.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Необходимые расчеты при приготовлении растворов из кристаллогидратов, этапы приготовления растворов из них. Демонстрация использования мерной пипетки для точного измерения малых объемов жидкости. Расчетные задачи на приготовление растворов из кристаллогидратов.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Практическая работа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Приготовление раствора с заданной массовой долей растворенного вещества из кристаллогидрата</w:t>
      </w:r>
      <w:r w:rsidRPr="0022067C">
        <w:rPr>
          <w:rFonts w:ascii="Times New Roman" w:hAnsi="Times New Roman" w:cs="Times New Roman"/>
          <w:sz w:val="24"/>
          <w:szCs w:val="24"/>
        </w:rPr>
        <w:t>».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Демонстрация измерения плотности раствора при помощи ареометра, работа учащихся со справочной таблицей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онцентрация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плотность кислот и оснований</w:t>
      </w:r>
      <w:r w:rsidRPr="0022067C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установление зависимости плотности раствора от массовой доли растворенного вещества, расчетные задачи с использованием плотности раствора и вышеназванной таблицы.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Практическая работа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Приготовление раствора с заданной массовой долей растворенного вещества из раствора неизвестной концентрации</w:t>
      </w:r>
      <w:r w:rsidRPr="0022067C">
        <w:rPr>
          <w:rFonts w:ascii="Times New Roman" w:hAnsi="Times New Roman" w:cs="Times New Roman"/>
          <w:sz w:val="24"/>
          <w:szCs w:val="24"/>
        </w:rPr>
        <w:t>».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Молярная концентрация – один из способов выражения состава раствора. Необходимые расчеты и этапы приготовления растворов с заданной молярной концентрацией. Демонстрация мерных колб и их использования. Расчетные задачи с использованием молярной концентрации.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Практическая работа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Приготовление раствора с заданной молярной концентрацией из безводной соли</w:t>
      </w:r>
      <w:r w:rsidRPr="0022067C">
        <w:rPr>
          <w:rFonts w:ascii="Times New Roman" w:hAnsi="Times New Roman" w:cs="Times New Roman"/>
          <w:sz w:val="24"/>
          <w:szCs w:val="24"/>
        </w:rPr>
        <w:t>».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Практическая работа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Приготовление раствора с заданной молярной концентрацией из кристаллогидрата</w:t>
      </w:r>
      <w:r w:rsidRPr="0022067C">
        <w:rPr>
          <w:rFonts w:ascii="Times New Roman" w:hAnsi="Times New Roman" w:cs="Times New Roman"/>
          <w:sz w:val="24"/>
          <w:szCs w:val="24"/>
        </w:rPr>
        <w:t>».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Растворимость веществ, работа учащихся с графиками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ривые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растворимости</w:t>
      </w:r>
      <w:r w:rsidRPr="0022067C">
        <w:rPr>
          <w:rFonts w:ascii="Times New Roman" w:hAnsi="Times New Roman" w:cs="Times New Roman"/>
          <w:sz w:val="24"/>
          <w:szCs w:val="24"/>
        </w:rPr>
        <w:t xml:space="preserve">». </w:t>
      </w:r>
      <w:r>
        <w:rPr>
          <w:rFonts w:ascii="Times New Roman" w:hAnsi="Times New Roman" w:cs="Times New Roman"/>
          <w:sz w:val="24"/>
          <w:szCs w:val="24"/>
        </w:rPr>
        <w:t xml:space="preserve">Установление зависимости растворимости большинства солей от температуры. Зависимость растворимости газообразных веществ от температуры. Насыщенные и ненасыщенные растворы, способы их приготовления (как из насыщенного раствора получить ненасыщенный раствор, и наоборот). Расчетные задачи с использованием понятия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растворимость</w:t>
      </w:r>
      <w:r w:rsidRPr="0022067C">
        <w:rPr>
          <w:rFonts w:ascii="Times New Roman" w:hAnsi="Times New Roman" w:cs="Times New Roman"/>
          <w:sz w:val="24"/>
          <w:szCs w:val="24"/>
        </w:rPr>
        <w:t>».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Расчетные задачи с использованием понятия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растворимость</w:t>
      </w:r>
      <w:r w:rsidRPr="0022067C">
        <w:rPr>
          <w:rFonts w:ascii="Times New Roman" w:hAnsi="Times New Roman" w:cs="Times New Roman"/>
          <w:sz w:val="24"/>
          <w:szCs w:val="24"/>
        </w:rPr>
        <w:t>».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Практическая работа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Зависимость растворимости от температуры</w:t>
      </w:r>
      <w:r w:rsidRPr="0022067C">
        <w:rPr>
          <w:rFonts w:ascii="Times New Roman" w:hAnsi="Times New Roman" w:cs="Times New Roman"/>
          <w:sz w:val="24"/>
          <w:szCs w:val="24"/>
        </w:rPr>
        <w:t>».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эквивалент</w:t>
      </w:r>
      <w:r w:rsidRPr="0022067C">
        <w:rPr>
          <w:rFonts w:ascii="Times New Roman" w:hAnsi="Times New Roman" w:cs="Times New Roman"/>
          <w:sz w:val="24"/>
          <w:szCs w:val="24"/>
        </w:rPr>
        <w:t xml:space="preserve">». </w:t>
      </w:r>
      <w:r>
        <w:rPr>
          <w:rFonts w:ascii="Times New Roman" w:hAnsi="Times New Roman" w:cs="Times New Roman"/>
          <w:sz w:val="24"/>
          <w:szCs w:val="24"/>
        </w:rPr>
        <w:t>Вычисление эквивалентов простых и сложных веществ. Закон эквивалентов.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Нормальная концентрация – один из способов выражения состава раствора. Необходимые расчеты и этапы приготовления растворов с заданной нормальной концентрацией. Демонстрация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фиксанала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его использования. Расчетные задачи с использованием нормальной концентрации.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Расчетные задачи с использованием нормальной концентрации.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Титр. Титрование – метод количественного определения вещества. Демонстрация приемов титрования.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Практическая работа </w:t>
      </w:r>
      <w:r w:rsidRPr="002206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Определение нормальной концентрации раствора титрованием</w:t>
      </w:r>
      <w:r w:rsidRPr="0022067C">
        <w:rPr>
          <w:rFonts w:ascii="Times New Roman" w:hAnsi="Times New Roman" w:cs="Times New Roman"/>
          <w:sz w:val="24"/>
          <w:szCs w:val="24"/>
        </w:rPr>
        <w:t>».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комбинированных расчетных задач с использованием плотности раствора, растворимости, молярной и нормальной концентраций, массовой доли растворенного вещества, формул кристаллогидратов.</w:t>
      </w:r>
    </w:p>
    <w:p w:rsidR="0022067C" w:rsidRP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Зачет, включающий тест и расчетные задачи различного уровня сложности.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ПОУРОЧНО-ТЕМАТИЧЕСКИЙ ПЛАН</w:t>
      </w:r>
    </w:p>
    <w:tbl>
      <w:tblPr>
        <w:tblW w:w="0" w:type="auto"/>
        <w:jc w:val="center"/>
        <w:tblLayout w:type="fixed"/>
        <w:tblCellMar>
          <w:left w:w="45" w:type="dxa"/>
          <w:right w:w="45" w:type="dxa"/>
        </w:tblCellMar>
        <w:tblLook w:val="0000"/>
      </w:tblPr>
      <w:tblGrid>
        <w:gridCol w:w="732"/>
        <w:gridCol w:w="3166"/>
        <w:gridCol w:w="1663"/>
        <w:gridCol w:w="1564"/>
        <w:gridCol w:w="2512"/>
      </w:tblGrid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Segoe UI Symbol" w:hAnsi="Segoe UI Symbol" w:cs="Segoe UI Symbol"/>
                <w:sz w:val="24"/>
                <w:szCs w:val="24"/>
                <w:lang w:val="en-US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16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6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Теоретический урок</w:t>
            </w:r>
          </w:p>
        </w:tc>
        <w:tc>
          <w:tcPr>
            <w:tcW w:w="156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 урок</w:t>
            </w:r>
          </w:p>
        </w:tc>
        <w:tc>
          <w:tcPr>
            <w:tcW w:w="251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учителя и ученика</w:t>
            </w: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1,2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задачи на приготовление растворов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и индивидуальная работа</w:t>
            </w:r>
          </w:p>
        </w:tc>
      </w:tr>
      <w:tr w:rsidR="0022067C" w:rsidRP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3,4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задачи на приготовление растворов из кристаллогидратов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Объясненение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учителя, демонстрация использования химической посуды, фронтальная работа</w:t>
            </w: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раствора с заданной массовой долей растворенного вещества из кристаллогидрата (практическая работа)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раствора и его плотность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учителя, фронтальная работа</w:t>
            </w: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раствора с заданной массовой долей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растворенного вещества из раствора неизвестной концентрации (практическая работа)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–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</w:tc>
      </w:tr>
      <w:tr w:rsidR="0022067C" w:rsidRP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8,9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Молярная концентрация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учителя, демонстрация использования химической посуды, фронтальная работа</w:t>
            </w: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раствора с заданной молярной концентрацией из безводной соли (практическая работа)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раствора с заданной молярной концентрацией из кристаллогидрата (практическая работа)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</w:tc>
      </w:tr>
      <w:tr w:rsidR="0022067C" w:rsidRP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12,13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Растворимость веществ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учителя, работа в парах, фронтальная работа</w:t>
            </w: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14,15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Расчетные задачи с использованием понятия </w:t>
            </w:r>
            <w:r w:rsidRPr="002206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растворимость</w:t>
            </w:r>
            <w:r w:rsidRPr="00220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и индивидуальная работа</w:t>
            </w: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Зависимость растворимости от температуры (практическая работа)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17,18,19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Эквивалент. Эквиваленты простых и сложных веществ. Закон эквивалентов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учителя, фронтальная работа</w:t>
            </w:r>
          </w:p>
        </w:tc>
      </w:tr>
      <w:tr w:rsidR="0022067C" w:rsidRP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20,21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Нормальная концентрация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учителя, демонстрация использования химической посуды, фронтальная работа</w:t>
            </w: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22,23,24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задачи с использованием нормальной концентрации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и индивидуальная работа</w:t>
            </w:r>
          </w:p>
        </w:tc>
      </w:tr>
      <w:tr w:rsidR="0022067C" w:rsidRP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25,26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Титр. Титрование и его использование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учителя, демонстрация использования химической посуды, фронтальная работа</w:t>
            </w: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P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нормальной концентрации раствора титрованием (практическая работа)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28–33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комбинированные задачи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и индивидуальная работа</w:t>
            </w: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73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166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22067C">
        <w:tblPrEx>
          <w:tblCellMar>
            <w:top w:w="0" w:type="dxa"/>
            <w:bottom w:w="0" w:type="dxa"/>
          </w:tblCellMar>
        </w:tblPrEx>
        <w:trPr>
          <w:trHeight w:val="1"/>
          <w:jc w:val="center"/>
        </w:trPr>
        <w:tc>
          <w:tcPr>
            <w:tcW w:w="3898" w:type="dxa"/>
            <w:gridSpan w:val="2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2" w:space="0" w:color="00000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22067C" w:rsidRDefault="002206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ч е б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- м е т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ч е с к о е о б е с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е ч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е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Гольдфарб Я.Л., Ходаков Ю.В., Додонов Ю.Б. Сборник задач и упражнений по химии. Учебное пособие для учащихся 7–10 классов средней школы. 6-е изд. М.: Просвещение, 1988, 192 с.;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Ерыгин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Д.П., Шишкин Н.А. Методика решения задач по химии. Учебное пособие для студентов </w:t>
      </w:r>
      <w:r>
        <w:rPr>
          <w:rFonts w:ascii="Times New Roman" w:hAnsi="Times New Roman" w:cs="Times New Roman"/>
          <w:sz w:val="24"/>
          <w:szCs w:val="24"/>
        </w:rPr>
        <w:lastRenderedPageBreak/>
        <w:t>педагогических институтов. М.: Просвещение, 1989, 176 с.;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Зоммер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K. Аккумулятор знаний по химии. Пер. с нем. 2-е изд. М.: Мир, 1984, 294 с.;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Магдесиева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proofErr w:type="gramEnd"/>
      <w:r>
        <w:rPr>
          <w:rFonts w:ascii="Times New Roman" w:hAnsi="Times New Roman" w:cs="Times New Roman"/>
          <w:sz w:val="24"/>
          <w:szCs w:val="24"/>
        </w:rPr>
        <w:t>узьменко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Н.Е. Учись решать задачи по химии.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proofErr w:type="gramEnd"/>
      <w:r>
        <w:rPr>
          <w:rFonts w:ascii="Times New Roman" w:hAnsi="Times New Roman" w:cs="Times New Roman"/>
          <w:sz w:val="24"/>
          <w:szCs w:val="24"/>
        </w:rPr>
        <w:t>нига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учащихся.</w:t>
      </w:r>
      <w:r>
        <w:rPr>
          <w:rFonts w:ascii="Times New Roman" w:hAnsi="Times New Roman" w:cs="Times New Roman"/>
          <w:sz w:val="24"/>
          <w:szCs w:val="24"/>
        </w:rPr>
        <w:br/>
        <w:t>М.: Просвещение, 1986, 160 с.;</w:t>
      </w:r>
      <w:r>
        <w:rPr>
          <w:rFonts w:ascii="Times New Roman" w:hAnsi="Times New Roman" w:cs="Times New Roman"/>
          <w:sz w:val="24"/>
          <w:szCs w:val="24"/>
        </w:rPr>
        <w:br/>
        <w:t xml:space="preserve">Гудкова А.С., Ефремова K.М.,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Магдесиева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Мельчакова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Н.В.500 задач по химии: Пособие для учащихся. 2-е изд. М.: Просвещение, 1981, 159 с.;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Хомченко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Г.П. Пособие по химии для поступающих в вузы. 3-е изд. М.: Новая Волна, ОНИ</w:t>
      </w:r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proofErr w:type="gramEnd"/>
      <w:r>
        <w:rPr>
          <w:rFonts w:ascii="Times New Roman" w:hAnsi="Times New Roman" w:cs="Times New Roman"/>
          <w:sz w:val="24"/>
          <w:szCs w:val="24"/>
        </w:rPr>
        <w:t>С, 1999, 464 с.;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Хомченко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Г.П.,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Хомченко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И.Г. Задачи по химии для поступающих в вузы. Учебное пособие. М.: Высшая школа, 1986, 238 с.;</w:t>
      </w:r>
      <w:r>
        <w:rPr>
          <w:rFonts w:ascii="Times New Roman" w:hAnsi="Times New Roman" w:cs="Times New Roman"/>
          <w:sz w:val="24"/>
          <w:szCs w:val="24"/>
        </w:rPr>
        <w:br/>
        <w:t xml:space="preserve">Цитович И.K., Протасов П.Н. Методика решения расчетных задач по химии.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</w:t>
      </w:r>
      <w:proofErr w:type="gramEnd"/>
      <w:r>
        <w:rPr>
          <w:rFonts w:ascii="Times New Roman" w:hAnsi="Times New Roman" w:cs="Times New Roman"/>
          <w:sz w:val="24"/>
          <w:szCs w:val="24"/>
        </w:rPr>
        <w:t>нига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учителя. 4-е изд. М.: Просвещение, 1983, 127 с.</w:t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22067C" w:rsidRDefault="0022067C" w:rsidP="0022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20490B" w:rsidRDefault="0022067C"/>
    <w:p w:rsidR="009D0F6F" w:rsidRDefault="009D0F6F"/>
    <w:p w:rsidR="009D0F6F" w:rsidRDefault="009D0F6F"/>
    <w:p w:rsidR="009D0F6F" w:rsidRDefault="009D0F6F"/>
    <w:p w:rsidR="009D0F6F" w:rsidRDefault="009D0F6F"/>
    <w:p w:rsidR="009D0F6F" w:rsidRDefault="009D0F6F"/>
    <w:p w:rsidR="009D0F6F" w:rsidRDefault="009D0F6F"/>
    <w:p w:rsidR="009D0F6F" w:rsidRDefault="009D0F6F"/>
    <w:sectPr w:rsidR="009D0F6F" w:rsidSect="009D0F6F">
      <w:pgSz w:w="11906" w:h="16838"/>
      <w:pgMar w:top="568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'Open Sans'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C2FBD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F6F"/>
    <w:rsid w:val="0022067C"/>
    <w:rsid w:val="0023744B"/>
    <w:rsid w:val="003348C3"/>
    <w:rsid w:val="0059453B"/>
    <w:rsid w:val="009D0F6F"/>
    <w:rsid w:val="00B25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F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1817</Words>
  <Characters>10363</Characters>
  <Application>Microsoft Office Word</Application>
  <DocSecurity>0</DocSecurity>
  <Lines>86</Lines>
  <Paragraphs>24</Paragraphs>
  <ScaleCrop>false</ScaleCrop>
  <Company/>
  <LinksUpToDate>false</LinksUpToDate>
  <CharactersWithSpaces>12156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2023-11-23T08:29:00Z</dcterms:created>
  <dcterms:modified xsi:type="dcterms:W3CDTF">2023-11-23T08:43:00Z</dcterms:modified>
</cp:coreProperties>
</file>